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945380" w:rsidRDefault="00945380" w:rsidP="00DD6303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DD6303">
        <w:rPr>
          <w:rFonts w:ascii="Times New Roman" w:eastAsia="Times New Roman" w:hAnsi="Times New Roman" w:cs="Times New Roman"/>
          <w:b/>
          <w:bCs/>
          <w:lang w:val="en-US"/>
        </w:rPr>
        <w:t>Statement of material fact on resolution of securities placement / Disclosure of insiders’</w:t>
      </w:r>
      <w:r w:rsidRPr="00DD6303">
        <w:rPr>
          <w:rFonts w:ascii="Times New Roman" w:eastAsia="Times New Roman" w:hAnsi="Times New Roman" w:cs="Times New Roman"/>
          <w:b/>
          <w:bCs/>
          <w:lang w:val="en-US"/>
        </w:rPr>
        <w:t xml:space="preserve"> information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200C18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200C18" w:rsidRPr="00945380" w:rsidTr="00AE0D7D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Public Joint Stock Company «Interregional Distribution Grid Company of the South»</w:t>
            </w:r>
          </w:p>
        </w:tc>
      </w:tr>
      <w:tr w:rsidR="00200C18" w:rsidRPr="00945380" w:rsidTr="00AE0D7D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Short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200C18" w:rsidRPr="00945380" w:rsidTr="00AE0D7D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200C18" w:rsidTr="00AE0D7D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200C18" w:rsidTr="00AE0D7D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200C18" w:rsidTr="00AE0D7D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Unique issuer code assigned by the registering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200C18" w:rsidRPr="00945380" w:rsidTr="00AE0D7D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945380" w:rsidRDefault="00945380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200C18" w:rsidTr="00AE0D7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200C18" w:rsidRPr="00945380" w:rsidTr="00AE0D7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03" w:rsidRPr="00945380" w:rsidRDefault="00945380" w:rsidP="00DD630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2.1.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Issuer's management body that made the decision on placement of securities and the way of decision making (the type of General meeting - annual or extraordinary, must be specified) in case if the Issuer's management body who made the decision on placement 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of securities is a General meeting of participants (shareholders) of the Issuer and the form of voting (combined presence or absentee voting): 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val="en-US"/>
              </w:rPr>
              <w:t>extraordinary General meeting of "IDGC of the South" PJSC's shareholders, absentee voting.</w:t>
            </w:r>
          </w:p>
          <w:p w:rsidR="00DD6303" w:rsidRPr="00945380" w:rsidRDefault="00945380" w:rsidP="00DD6303">
            <w:pPr>
              <w:widowControl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2.2.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Date and venue of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the meeting of the Issuer's management body on which shall be made the decision of securities placement: </w:t>
            </w: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t>April 7, 2017, postal address to which completed ballots were sent: "IDGC of the South", PJSC, 49, Bolshaya Sadovaya Street, Rostov-on-Don, 344002, Ru</w:t>
            </w: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t>ssian Federation; "R.O.S.T. Registrar", 18 bldg. 13, Stromynka Street, Moscow, 107996, Russian Federation.</w:t>
            </w:r>
          </w:p>
          <w:p w:rsidR="00DD6303" w:rsidRPr="00945380" w:rsidRDefault="00945380" w:rsidP="00DD630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2.3.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 xml:space="preserve">Date and number of the meeting minutes of the Issuer's authorized management body on which the decision of securities placement is made: 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val="en-US"/>
              </w:rPr>
              <w:t>Minutes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val="en-US"/>
              </w:rPr>
              <w:t xml:space="preserve"> of the extraordinary General meeting of "IDGC of the South", PJSC's shareholders of 12.04.2017 N16.</w:t>
            </w:r>
          </w:p>
          <w:p w:rsidR="00DD6303" w:rsidRPr="00945380" w:rsidRDefault="00945380" w:rsidP="00DD6303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2.4.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Quorum and voting results about the decision of securities placement: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2"/>
              <w:gridCol w:w="3542"/>
              <w:gridCol w:w="427"/>
              <w:gridCol w:w="1838"/>
            </w:tblGrid>
            <w:tr w:rsidR="00200C18" w:rsidTr="00DD6303">
              <w:trPr>
                <w:trHeight w:val="113"/>
                <w:jc w:val="center"/>
              </w:trPr>
              <w:tc>
                <w:tcPr>
                  <w:tcW w:w="751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945380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 xml:space="preserve">Number of votes held by those who were included in the list of persons entitled </w:t>
                  </w: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to participate in the general meeting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b/>
                      <w:iCs/>
                      <w:color w:val="auto"/>
                      <w:lang w:val="en-US"/>
                    </w:rPr>
                    <w:t>61 178 139 417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751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945380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 xml:space="preserve">Number of votes attached to the voting shares of the Company determined with considering the provisions of paragraph 4.20 of the Regulations on additional requirements for the process of preparation, </w:t>
                  </w: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convocation and holding of the general meeting of shareholders approved by the Order of FFMS of Russia of February 2, 2012 No. 12-6/pz-n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b/>
                      <w:iCs/>
                      <w:color w:val="auto"/>
                      <w:lang w:val="en-US"/>
                    </w:rPr>
                    <w:t>61 178 139 417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751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945380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Number of votes held by persons participating in the General meeting on this issue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b/>
                      <w:iCs/>
                      <w:color w:val="auto"/>
                      <w:lang w:val="en-US"/>
                    </w:rPr>
                    <w:t>49 676 598 123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751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Quor</w:t>
                  </w: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um (%)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b/>
                      <w:iCs/>
                      <w:color w:val="auto"/>
                      <w:lang w:val="en-US"/>
                    </w:rPr>
                    <w:t>81.1999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9349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Voting options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Number of votes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% of the meeting participants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b/>
                      <w:iCs/>
                      <w:color w:val="auto"/>
                      <w:lang w:val="en-US"/>
                    </w:rPr>
                    <w:t>IN FAVOR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b/>
                      <w:iCs/>
                      <w:color w:val="auto"/>
                      <w:lang w:val="en-US"/>
                    </w:rPr>
                    <w:t>37 184 864 220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b/>
                      <w:iCs/>
                      <w:color w:val="auto"/>
                      <w:lang w:val="en-US"/>
                    </w:rPr>
                    <w:t>74.8539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AGAINST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12 490 041 467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25.1427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ABSTENTIONS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1 692 436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0.0034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934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708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Did not vote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0</w:t>
                  </w:r>
                </w:p>
              </w:tc>
            </w:tr>
            <w:tr w:rsidR="00200C18" w:rsidTr="00DD6303">
              <w:trPr>
                <w:trHeight w:val="113"/>
                <w:jc w:val="center"/>
              </w:trPr>
              <w:tc>
                <w:tcPr>
                  <w:tcW w:w="934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694691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00C18" w:rsidRPr="00945380" w:rsidTr="00DD6303">
              <w:trPr>
                <w:trHeight w:val="113"/>
                <w:jc w:val="center"/>
              </w:trPr>
              <w:tc>
                <w:tcPr>
                  <w:tcW w:w="7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D6303" w:rsidRPr="00945380" w:rsidRDefault="00945380" w:rsidP="00DD6303">
                  <w:pPr>
                    <w:ind w:left="57" w:right="57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 xml:space="preserve">Number of votes which were not counted due to the </w:t>
                  </w: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invalidation of ballots (including the part of voting on this issue):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6303" w:rsidRPr="00945380" w:rsidRDefault="00945380" w:rsidP="00DD6303">
                  <w:pPr>
                    <w:ind w:left="57" w:right="57"/>
                    <w:jc w:val="right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694691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0</w:t>
                  </w:r>
                </w:p>
              </w:tc>
            </w:tr>
          </w:tbl>
          <w:p w:rsidR="00DD6303" w:rsidRPr="00945380" w:rsidRDefault="00945380" w:rsidP="00DD6303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2.5.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Full wording of the decision on placement of securities:</w:t>
            </w:r>
          </w:p>
          <w:p w:rsidR="00DD6303" w:rsidRPr="00945380" w:rsidRDefault="00945380" w:rsidP="00DD6303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t>To increase the authorized capital stock by placing additional ordinary registered uncertified shares in the amount of 13</w:t>
            </w: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 015 185 446 (Thirteen billion and fifteen million one hundred and eighty-five thousand four hundred and forty-six) items of the nominal value 10 (Ten) kopecks each in a total </w:t>
            </w: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lastRenderedPageBreak/>
              <w:t xml:space="preserve">amount of 1 301 518 544 (One billion three hundred and one million five hundred </w:t>
            </w: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t>and eighteen thousand five hundred and forty-four) rubles and 60 kopecks on the following basic terms:</w:t>
            </w:r>
          </w:p>
          <w:p w:rsidR="00DD6303" w:rsidRPr="00945380" w:rsidRDefault="00945380" w:rsidP="00DD6303">
            <w:pPr>
              <w:widowControl/>
              <w:tabs>
                <w:tab w:val="left" w:pos="291"/>
              </w:tabs>
              <w:ind w:left="57" w:right="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-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ab/>
              <w:t>placement mode - open subscription;</w:t>
            </w:r>
          </w:p>
          <w:p w:rsidR="00DD6303" w:rsidRPr="00945380" w:rsidRDefault="00945380" w:rsidP="00DD6303">
            <w:pPr>
              <w:widowControl/>
              <w:tabs>
                <w:tab w:val="left" w:pos="291"/>
              </w:tabs>
              <w:ind w:left="57" w:right="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-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ab/>
              <w:t>the placement price of one additional ordinary registered uncertified share (including to persons included in the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 list of persons having the preferential right to purchase placed additional shares) is 10 (Ten) kopecks;</w:t>
            </w:r>
          </w:p>
          <w:p w:rsidR="00DD6303" w:rsidRPr="00945380" w:rsidRDefault="00945380" w:rsidP="00DD6303">
            <w:pPr>
              <w:widowControl/>
              <w:tabs>
                <w:tab w:val="left" w:pos="291"/>
              </w:tabs>
              <w:spacing w:after="240"/>
              <w:ind w:left="57" w:right="57"/>
              <w:jc w:val="both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-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ab/>
              <w:t>Payment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 xml:space="preserve"> terms - payment of additional ordinary registered uncertified shares of the Company is carried out in cash in rubles of the Russian Federati</w:t>
            </w:r>
            <w:r w:rsidRPr="00DD630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/>
              </w:rPr>
              <w:t>on in a non-cash form.</w:t>
            </w:r>
          </w:p>
          <w:p w:rsidR="00DD6303" w:rsidRPr="00945380" w:rsidRDefault="00945380" w:rsidP="00DD6303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2.6.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 xml:space="preserve">Granting of the priority shares acquisition right to the issuer’s shareholders (members) and/or other individuals: </w:t>
            </w: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The Issuer’s shareholders, according to the Article 40, Federal Joint Stock Companies Law, have the preferential </w:t>
            </w: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t>right to purchase ordinary shares placed by public subscription, pro rata the number of their ordinary shares in the Issuer.</w:t>
            </w:r>
          </w:p>
          <w:p w:rsidR="00DD6303" w:rsidRPr="00945380" w:rsidRDefault="00945380" w:rsidP="00DD6303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2.7.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 xml:space="preserve">If during the issue of securities a registration (presentation to the exchange) of securities prospectus is supposed, data on </w:t>
            </w:r>
            <w:r w:rsidRPr="00DD630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the specified circumstance:</w:t>
            </w:r>
          </w:p>
          <w:p w:rsidR="00DD6303" w:rsidRPr="00945380" w:rsidRDefault="00945380" w:rsidP="00DD6303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en-US"/>
              </w:rPr>
            </w:pPr>
            <w:r w:rsidRPr="00DD6303">
              <w:rPr>
                <w:rFonts w:ascii="Times New Roman" w:hAnsi="Times New Roman" w:cs="Times New Roman"/>
                <w:i/>
                <w:color w:val="auto"/>
                <w:lang w:val="en-US"/>
              </w:rPr>
              <w:t>The securities prospectus is expected to be registered during the securities issue.</w:t>
            </w:r>
          </w:p>
        </w:tc>
      </w:tr>
      <w:tr w:rsidR="00200C18" w:rsidTr="00AE0D7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3. Signature</w:t>
            </w:r>
          </w:p>
        </w:tc>
      </w:tr>
      <w:tr w:rsidR="00200C18" w:rsidTr="00AE0D7D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945380" w:rsidRDefault="00945380" w:rsidP="00587F37">
            <w:pPr>
              <w:widowControl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Department head –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Company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945380" w:rsidRDefault="00945380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100B97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200C18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945380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945380" w:rsidP="00100B97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00C18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945380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945380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200C18" w:rsidTr="00133159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945380" w:rsidP="00DD6303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Date: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 xml:space="preserve"> April 12,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945380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945380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945380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18"/>
    <w:rsid w:val="00200C18"/>
    <w:rsid w:val="009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4</cp:revision>
  <dcterms:created xsi:type="dcterms:W3CDTF">2018-03-15T09:01:00Z</dcterms:created>
  <dcterms:modified xsi:type="dcterms:W3CDTF">2018-04-19T09:29:00Z</dcterms:modified>
</cp:coreProperties>
</file>